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178F" w14:textId="77777777" w:rsidR="005E1A24" w:rsidRDefault="005E1A24" w:rsidP="005E1A24">
      <w:pPr>
        <w:pStyle w:val="Header"/>
      </w:pPr>
      <w:r w:rsidRPr="00A6676D">
        <w:rPr>
          <w:highlight w:val="yellow"/>
        </w:rPr>
        <w:t>INSTRUCTIONS</w:t>
      </w:r>
      <w:proofErr w:type="gramStart"/>
      <w:r w:rsidRPr="00A6676D">
        <w:rPr>
          <w:highlight w:val="yellow"/>
        </w:rPr>
        <w:t>:  Fill</w:t>
      </w:r>
      <w:proofErr w:type="gramEnd"/>
      <w:r w:rsidRPr="00A6676D">
        <w:rPr>
          <w:highlight w:val="yellow"/>
        </w:rPr>
        <w:t xml:space="preserve"> in the yellow highlighted text with the information for your city or county.  Find the data at </w:t>
      </w:r>
      <w:hyperlink r:id="rId9" w:history="1">
        <w:r w:rsidRPr="00A6676D">
          <w:rPr>
            <w:rStyle w:val="Hyperlink"/>
            <w:highlight w:val="yellow"/>
          </w:rPr>
          <w:t>https://www.seniorhungersolutions.org/</w:t>
        </w:r>
      </w:hyperlink>
      <w:r w:rsidRPr="00A6676D">
        <w:rPr>
          <w:highlight w:val="yellow"/>
        </w:rPr>
        <w:t xml:space="preserve"> (Click on your County and then click ‘Learn More’ to find the food insecurity rate and the estimated number of residents experiencing food insecurity.)</w:t>
      </w:r>
      <w:r>
        <w:t xml:space="preserve"> </w:t>
      </w:r>
    </w:p>
    <w:p w14:paraId="4926A901" w14:textId="77777777" w:rsidR="005E1A24" w:rsidRDefault="005E1A24" w:rsidP="000861F6">
      <w:pPr>
        <w:jc w:val="center"/>
        <w:rPr>
          <w:b/>
          <w:sz w:val="32"/>
          <w:szCs w:val="32"/>
        </w:rPr>
      </w:pPr>
    </w:p>
    <w:p w14:paraId="6935B4D5" w14:textId="4C9D49D7" w:rsidR="000861F6" w:rsidRDefault="001D1DA1" w:rsidP="00086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Senior Hunger Awareness Month</w:t>
      </w:r>
    </w:p>
    <w:p w14:paraId="6935B4D6" w14:textId="77777777" w:rsidR="000861F6" w:rsidRDefault="000861F6" w:rsidP="000861F6">
      <w:pPr>
        <w:jc w:val="center"/>
        <w:rPr>
          <w:sz w:val="28"/>
          <w:szCs w:val="28"/>
        </w:rPr>
      </w:pPr>
      <w:r>
        <w:rPr>
          <w:sz w:val="28"/>
          <w:szCs w:val="28"/>
        </w:rPr>
        <w:t>A PROCLAMATION</w:t>
      </w:r>
    </w:p>
    <w:p w14:paraId="6935B4D7" w14:textId="77777777" w:rsidR="000861F6" w:rsidRDefault="000861F6" w:rsidP="000861F6">
      <w:pPr>
        <w:jc w:val="center"/>
        <w:rPr>
          <w:sz w:val="28"/>
          <w:szCs w:val="28"/>
        </w:rPr>
      </w:pPr>
    </w:p>
    <w:p w14:paraId="6935B4D8" w14:textId="77777777" w:rsidR="00FD4C77" w:rsidRPr="000861F6" w:rsidRDefault="00FD4C77" w:rsidP="00FD4C77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the health and safety of all older adults in </w:t>
      </w:r>
      <w:r w:rsidRPr="00FD4C77">
        <w:rPr>
          <w:szCs w:val="24"/>
          <w:highlight w:val="yellow"/>
        </w:rPr>
        <w:t xml:space="preserve">INSERT </w:t>
      </w:r>
      <w:r w:rsidR="00D47FDD">
        <w:rPr>
          <w:szCs w:val="24"/>
          <w:highlight w:val="yellow"/>
        </w:rPr>
        <w:t>CITY/</w:t>
      </w:r>
      <w:r w:rsidRPr="00FD4C77">
        <w:rPr>
          <w:szCs w:val="24"/>
          <w:highlight w:val="yellow"/>
        </w:rPr>
        <w:t>COUNTY</w:t>
      </w:r>
      <w:r>
        <w:rPr>
          <w:szCs w:val="24"/>
        </w:rPr>
        <w:t xml:space="preserve"> is important to the growth, prosperity, and well-being of our community; and,</w:t>
      </w:r>
    </w:p>
    <w:p w14:paraId="6935B4D9" w14:textId="77777777" w:rsidR="00FD4C77" w:rsidRDefault="00FD4C77" w:rsidP="000861F6">
      <w:pPr>
        <w:rPr>
          <w:b/>
          <w:szCs w:val="24"/>
        </w:rPr>
      </w:pPr>
    </w:p>
    <w:p w14:paraId="6935B4DA" w14:textId="77777777" w:rsidR="000861F6" w:rsidRDefault="000861F6" w:rsidP="000861F6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the United States Department of Agriculture defines food insecurity as the limited or uncertain availability of </w:t>
      </w:r>
      <w:r w:rsidR="006F7B5B">
        <w:rPr>
          <w:szCs w:val="24"/>
        </w:rPr>
        <w:t xml:space="preserve">or the uncertain ability to acquire </w:t>
      </w:r>
      <w:r>
        <w:rPr>
          <w:szCs w:val="24"/>
        </w:rPr>
        <w:t>nutritionally adequate and safe foods</w:t>
      </w:r>
      <w:r w:rsidR="003D587F">
        <w:rPr>
          <w:szCs w:val="24"/>
        </w:rPr>
        <w:t>; and,</w:t>
      </w:r>
    </w:p>
    <w:p w14:paraId="6935B4DB" w14:textId="77777777" w:rsidR="00156302" w:rsidRDefault="00156302" w:rsidP="000861F6">
      <w:pPr>
        <w:rPr>
          <w:szCs w:val="24"/>
        </w:rPr>
      </w:pPr>
    </w:p>
    <w:p w14:paraId="6935B4DC" w14:textId="77777777" w:rsidR="00156302" w:rsidRDefault="00156302" w:rsidP="00156302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szCs w:val="24"/>
        </w:rPr>
        <w:t xml:space="preserve"> the overall food insecurity rate for </w:t>
      </w:r>
      <w:r w:rsidRPr="00156302">
        <w:rPr>
          <w:szCs w:val="24"/>
          <w:highlight w:val="yellow"/>
        </w:rPr>
        <w:t>INSERT COUNTY</w:t>
      </w:r>
      <w:r>
        <w:rPr>
          <w:szCs w:val="24"/>
        </w:rPr>
        <w:t xml:space="preserve"> is </w:t>
      </w:r>
      <w:r w:rsidRPr="00156302">
        <w:rPr>
          <w:szCs w:val="24"/>
          <w:highlight w:val="yellow"/>
        </w:rPr>
        <w:t>INSERT FOOD</w:t>
      </w:r>
      <w:r>
        <w:rPr>
          <w:szCs w:val="24"/>
        </w:rPr>
        <w:t xml:space="preserve"> </w:t>
      </w:r>
      <w:r w:rsidRPr="00156302">
        <w:rPr>
          <w:szCs w:val="24"/>
          <w:highlight w:val="yellow"/>
        </w:rPr>
        <w:t>INSECURITY RATE</w:t>
      </w:r>
      <w:r w:rsidR="009F6C67">
        <w:rPr>
          <w:szCs w:val="24"/>
        </w:rPr>
        <w:t xml:space="preserve"> according to Feeding America</w:t>
      </w:r>
      <w:r>
        <w:rPr>
          <w:szCs w:val="24"/>
        </w:rPr>
        <w:t xml:space="preserve">; and, </w:t>
      </w:r>
    </w:p>
    <w:p w14:paraId="6935B4DD" w14:textId="77777777" w:rsidR="000861F6" w:rsidRDefault="000861F6" w:rsidP="000861F6">
      <w:pPr>
        <w:rPr>
          <w:b/>
          <w:szCs w:val="24"/>
        </w:rPr>
      </w:pPr>
    </w:p>
    <w:p w14:paraId="6935B4DE" w14:textId="77777777" w:rsidR="005A1BAE" w:rsidRDefault="005A1BAE" w:rsidP="005A1BAE">
      <w:pPr>
        <w:rPr>
          <w:szCs w:val="24"/>
        </w:rPr>
      </w:pPr>
      <w:r>
        <w:rPr>
          <w:b/>
          <w:szCs w:val="24"/>
        </w:rPr>
        <w:t>Whereas,</w:t>
      </w:r>
      <w:r>
        <w:rPr>
          <w:szCs w:val="24"/>
        </w:rPr>
        <w:t xml:space="preserve"> food insecure seniors tend to have lower nutrient intake, lower diet quality, more chronic health conditions, poorer self-reported health status, lengthened hospital stays and greater hospital </w:t>
      </w:r>
      <w:proofErr w:type="gramStart"/>
      <w:r>
        <w:rPr>
          <w:szCs w:val="24"/>
        </w:rPr>
        <w:t>readmissions</w:t>
      </w:r>
      <w:proofErr w:type="gramEnd"/>
      <w:r>
        <w:rPr>
          <w:szCs w:val="24"/>
        </w:rPr>
        <w:t xml:space="preserve">, cost-related medication non-adherence, and out-of-pocket medical expenses; and,  </w:t>
      </w:r>
    </w:p>
    <w:p w14:paraId="6935B4DF" w14:textId="77777777" w:rsidR="004658A4" w:rsidRDefault="004658A4" w:rsidP="005A1BAE">
      <w:pPr>
        <w:rPr>
          <w:szCs w:val="24"/>
        </w:rPr>
      </w:pPr>
    </w:p>
    <w:p w14:paraId="6935B4E0" w14:textId="3821ED49" w:rsidR="004658A4" w:rsidRPr="00B55B6F" w:rsidRDefault="004658A4" w:rsidP="004658A4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szCs w:val="24"/>
        </w:rPr>
        <w:t xml:space="preserve"> there are </w:t>
      </w:r>
      <w:r w:rsidR="009E2572">
        <w:rPr>
          <w:szCs w:val="24"/>
        </w:rPr>
        <w:t>at least</w:t>
      </w:r>
      <w:r>
        <w:rPr>
          <w:szCs w:val="24"/>
        </w:rPr>
        <w:t xml:space="preserve"> </w:t>
      </w:r>
      <w:r w:rsidRPr="004658A4">
        <w:rPr>
          <w:szCs w:val="24"/>
          <w:highlight w:val="yellow"/>
        </w:rPr>
        <w:t>INSERT NUMBER</w:t>
      </w:r>
      <w:r>
        <w:rPr>
          <w:szCs w:val="24"/>
        </w:rPr>
        <w:t xml:space="preserve"> residents of </w:t>
      </w:r>
      <w:r w:rsidRPr="004658A4">
        <w:rPr>
          <w:szCs w:val="24"/>
          <w:highlight w:val="yellow"/>
        </w:rPr>
        <w:t>INSERT</w:t>
      </w:r>
      <w:r w:rsidR="009E2572">
        <w:rPr>
          <w:szCs w:val="24"/>
          <w:highlight w:val="yellow"/>
        </w:rPr>
        <w:t xml:space="preserve"> </w:t>
      </w:r>
      <w:r w:rsidRPr="004658A4">
        <w:rPr>
          <w:szCs w:val="24"/>
          <w:highlight w:val="yellow"/>
        </w:rPr>
        <w:t>COUNTY</w:t>
      </w:r>
      <w:r>
        <w:rPr>
          <w:szCs w:val="24"/>
        </w:rPr>
        <w:t xml:space="preserve"> over the age of 65 who are experiencing food insecurity; and, </w:t>
      </w:r>
    </w:p>
    <w:p w14:paraId="6935B4E1" w14:textId="77777777" w:rsidR="005A1BAE" w:rsidRDefault="005A1BAE" w:rsidP="000861F6">
      <w:pPr>
        <w:rPr>
          <w:b/>
          <w:szCs w:val="24"/>
        </w:rPr>
      </w:pPr>
    </w:p>
    <w:p w14:paraId="6935B4E2" w14:textId="77777777" w:rsidR="00B55B6F" w:rsidRDefault="00B55B6F" w:rsidP="00B55B6F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szCs w:val="24"/>
        </w:rPr>
        <w:t xml:space="preserve"> older adults</w:t>
      </w:r>
      <w:r w:rsidR="004658A4">
        <w:rPr>
          <w:szCs w:val="24"/>
        </w:rPr>
        <w:t xml:space="preserve"> are often</w:t>
      </w:r>
      <w:r>
        <w:rPr>
          <w:szCs w:val="24"/>
        </w:rPr>
        <w:t xml:space="preserve"> unable to increase their income to cover cost of living increases</w:t>
      </w:r>
      <w:r w:rsidR="003D587F">
        <w:rPr>
          <w:szCs w:val="24"/>
        </w:rPr>
        <w:t xml:space="preserve">; and, </w:t>
      </w:r>
    </w:p>
    <w:p w14:paraId="6935B4E3" w14:textId="77777777" w:rsidR="004658A4" w:rsidRDefault="004658A4" w:rsidP="00B55B6F">
      <w:pPr>
        <w:rPr>
          <w:szCs w:val="24"/>
        </w:rPr>
      </w:pPr>
    </w:p>
    <w:p w14:paraId="6935B4E4" w14:textId="77777777" w:rsidR="004658A4" w:rsidRDefault="004658A4" w:rsidP="004658A4">
      <w:pPr>
        <w:rPr>
          <w:szCs w:val="24"/>
        </w:rPr>
      </w:pPr>
      <w:proofErr w:type="gramStart"/>
      <w:r>
        <w:rPr>
          <w:b/>
          <w:szCs w:val="24"/>
        </w:rPr>
        <w:t>Whereas,</w:t>
      </w:r>
      <w:proofErr w:type="gramEnd"/>
      <w:r>
        <w:rPr>
          <w:szCs w:val="24"/>
        </w:rPr>
        <w:t xml:space="preserve"> </w:t>
      </w:r>
      <w:r w:rsidR="006B3966">
        <w:rPr>
          <w:szCs w:val="24"/>
        </w:rPr>
        <w:t xml:space="preserve">older </w:t>
      </w:r>
      <w:r>
        <w:rPr>
          <w:szCs w:val="24"/>
        </w:rPr>
        <w:t xml:space="preserve">adults </w:t>
      </w:r>
      <w:r w:rsidR="006B3966">
        <w:rPr>
          <w:szCs w:val="24"/>
        </w:rPr>
        <w:t>living in food-insecure households are at greater risk of adverse mental health outcomes</w:t>
      </w:r>
      <w:r>
        <w:rPr>
          <w:szCs w:val="24"/>
        </w:rPr>
        <w:t xml:space="preserve">; and, </w:t>
      </w:r>
    </w:p>
    <w:p w14:paraId="6935B4E5" w14:textId="77777777" w:rsidR="003D587F" w:rsidRDefault="003D587F" w:rsidP="00B55B6F">
      <w:pPr>
        <w:rPr>
          <w:szCs w:val="24"/>
        </w:rPr>
      </w:pPr>
    </w:p>
    <w:p w14:paraId="6935B4E6" w14:textId="356229CB" w:rsidR="003D587F" w:rsidRPr="003D587F" w:rsidRDefault="003D587F" w:rsidP="00B55B6F">
      <w:pPr>
        <w:rPr>
          <w:szCs w:val="24"/>
        </w:rPr>
      </w:pPr>
      <w:proofErr w:type="gramStart"/>
      <w:r>
        <w:rPr>
          <w:b/>
          <w:szCs w:val="24"/>
        </w:rPr>
        <w:t>Whereas</w:t>
      </w:r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="00156302">
        <w:rPr>
          <w:szCs w:val="24"/>
        </w:rPr>
        <w:t xml:space="preserve">it is our responsibility of citizens of </w:t>
      </w:r>
      <w:r w:rsidR="00156302" w:rsidRPr="006B3966">
        <w:rPr>
          <w:szCs w:val="24"/>
          <w:highlight w:val="yellow"/>
        </w:rPr>
        <w:t xml:space="preserve">INSERT </w:t>
      </w:r>
      <w:r w:rsidR="00D47FDD">
        <w:rPr>
          <w:szCs w:val="24"/>
          <w:highlight w:val="yellow"/>
        </w:rPr>
        <w:t>CITY/</w:t>
      </w:r>
      <w:r w:rsidR="00156302" w:rsidRPr="006B3966">
        <w:rPr>
          <w:szCs w:val="24"/>
          <w:highlight w:val="yellow"/>
        </w:rPr>
        <w:t>COUNTY</w:t>
      </w:r>
      <w:r w:rsidR="00156302">
        <w:rPr>
          <w:szCs w:val="24"/>
        </w:rPr>
        <w:t xml:space="preserve"> to learn about hunger and food insecurity and do our part to reduce it</w:t>
      </w:r>
      <w:r w:rsidR="00E42E12">
        <w:rPr>
          <w:szCs w:val="24"/>
        </w:rPr>
        <w:t>.</w:t>
      </w:r>
    </w:p>
    <w:p w14:paraId="6935B4E7" w14:textId="77777777" w:rsidR="00B55B6F" w:rsidRDefault="00B55B6F" w:rsidP="000861F6">
      <w:pPr>
        <w:rPr>
          <w:b/>
          <w:szCs w:val="24"/>
        </w:rPr>
      </w:pPr>
    </w:p>
    <w:p w14:paraId="6935B4E8" w14:textId="03B2FB1E" w:rsidR="003D587F" w:rsidRDefault="00E42E12" w:rsidP="000861F6">
      <w:pPr>
        <w:rPr>
          <w:szCs w:val="24"/>
        </w:rPr>
      </w:pPr>
      <w:r>
        <w:rPr>
          <w:b/>
          <w:szCs w:val="24"/>
        </w:rPr>
        <w:t>Now, t</w:t>
      </w:r>
      <w:r w:rsidR="000861F6">
        <w:rPr>
          <w:b/>
          <w:szCs w:val="24"/>
        </w:rPr>
        <w:t xml:space="preserve">herefore, </w:t>
      </w:r>
      <w:r w:rsidR="000861F6" w:rsidRPr="000861F6">
        <w:rPr>
          <w:szCs w:val="24"/>
        </w:rPr>
        <w:t xml:space="preserve">the </w:t>
      </w:r>
      <w:r w:rsidR="00FD4C77" w:rsidRPr="00FD4C77">
        <w:rPr>
          <w:szCs w:val="24"/>
          <w:highlight w:val="yellow"/>
        </w:rPr>
        <w:t xml:space="preserve">INSERT </w:t>
      </w:r>
      <w:r w:rsidR="00A440CC">
        <w:rPr>
          <w:szCs w:val="24"/>
          <w:highlight w:val="yellow"/>
        </w:rPr>
        <w:t>COUNTY GOV</w:t>
      </w:r>
      <w:r w:rsidR="003A25FA">
        <w:rPr>
          <w:szCs w:val="24"/>
          <w:highlight w:val="yellow"/>
        </w:rPr>
        <w:t>E</w:t>
      </w:r>
      <w:r w:rsidR="00A440CC">
        <w:rPr>
          <w:szCs w:val="24"/>
          <w:highlight w:val="yellow"/>
        </w:rPr>
        <w:t>RNING BODY OR INDIVDIUAL (EX</w:t>
      </w:r>
      <w:r w:rsidR="00BA12B6">
        <w:rPr>
          <w:szCs w:val="24"/>
          <w:highlight w:val="yellow"/>
        </w:rPr>
        <w:t>AMPLES</w:t>
      </w:r>
      <w:r w:rsidR="00A440CC" w:rsidRPr="00A440CC">
        <w:rPr>
          <w:szCs w:val="24"/>
          <w:highlight w:val="yellow"/>
        </w:rPr>
        <w:t xml:space="preserve">: </w:t>
      </w:r>
      <w:r w:rsidR="00CE0022">
        <w:rPr>
          <w:szCs w:val="24"/>
          <w:highlight w:val="yellow"/>
        </w:rPr>
        <w:t>City of CITY</w:t>
      </w:r>
      <w:r w:rsidR="00A440CC" w:rsidRPr="00A440CC">
        <w:rPr>
          <w:szCs w:val="24"/>
          <w:highlight w:val="yellow"/>
        </w:rPr>
        <w:t xml:space="preserve"> Commissioners</w:t>
      </w:r>
      <w:r w:rsidR="006F7B5B">
        <w:rPr>
          <w:szCs w:val="24"/>
          <w:highlight w:val="yellow"/>
        </w:rPr>
        <w:t>’</w:t>
      </w:r>
      <w:r w:rsidR="00CE0022">
        <w:rPr>
          <w:szCs w:val="24"/>
          <w:highlight w:val="yellow"/>
        </w:rPr>
        <w:t xml:space="preserve"> Court or</w:t>
      </w:r>
      <w:r w:rsidR="00A440CC" w:rsidRPr="00A440CC">
        <w:rPr>
          <w:szCs w:val="24"/>
          <w:highlight w:val="yellow"/>
        </w:rPr>
        <w:t xml:space="preserve"> County Judge)</w:t>
      </w:r>
      <w:r w:rsidR="00A440CC">
        <w:rPr>
          <w:szCs w:val="24"/>
        </w:rPr>
        <w:t xml:space="preserve"> </w:t>
      </w:r>
      <w:r w:rsidR="000861F6" w:rsidRPr="000861F6">
        <w:rPr>
          <w:szCs w:val="24"/>
        </w:rPr>
        <w:t xml:space="preserve">do hereby proclaim April </w:t>
      </w:r>
      <w:r w:rsidR="006E39CD" w:rsidRPr="006E39CD">
        <w:rPr>
          <w:szCs w:val="24"/>
          <w:highlight w:val="yellow"/>
        </w:rPr>
        <w:t>YEAR</w:t>
      </w:r>
      <w:r w:rsidR="000861F6" w:rsidRPr="000861F6">
        <w:rPr>
          <w:szCs w:val="24"/>
        </w:rPr>
        <w:t xml:space="preserve"> to be </w:t>
      </w:r>
    </w:p>
    <w:p w14:paraId="6935B4E9" w14:textId="77777777" w:rsidR="003D587F" w:rsidRDefault="003D587F" w:rsidP="000861F6">
      <w:pPr>
        <w:rPr>
          <w:szCs w:val="24"/>
        </w:rPr>
      </w:pPr>
    </w:p>
    <w:p w14:paraId="6935B4EA" w14:textId="77777777" w:rsidR="003D587F" w:rsidRPr="00FD4C77" w:rsidRDefault="003D587F" w:rsidP="003D587F">
      <w:pPr>
        <w:jc w:val="center"/>
        <w:rPr>
          <w:b/>
          <w:sz w:val="28"/>
          <w:szCs w:val="28"/>
        </w:rPr>
      </w:pPr>
      <w:r w:rsidRPr="00FD4C77">
        <w:rPr>
          <w:b/>
          <w:sz w:val="28"/>
          <w:szCs w:val="28"/>
        </w:rPr>
        <w:t>Senior Hunger Awareness Month</w:t>
      </w:r>
    </w:p>
    <w:p w14:paraId="6935B4EB" w14:textId="77777777" w:rsidR="003D587F" w:rsidRDefault="003D587F" w:rsidP="003D587F">
      <w:pPr>
        <w:jc w:val="center"/>
        <w:rPr>
          <w:szCs w:val="24"/>
        </w:rPr>
      </w:pPr>
    </w:p>
    <w:p w14:paraId="6935B4EC" w14:textId="3A2BCAE7" w:rsidR="000861F6" w:rsidRPr="000861F6" w:rsidRDefault="006E39CD" w:rsidP="000861F6">
      <w:pPr>
        <w:rPr>
          <w:szCs w:val="24"/>
        </w:rPr>
      </w:pPr>
      <w:r>
        <w:rPr>
          <w:szCs w:val="24"/>
          <w:highlight w:val="yellow"/>
        </w:rPr>
        <w:t>W</w:t>
      </w:r>
      <w:r w:rsidR="003D587F" w:rsidRPr="00A440CC">
        <w:rPr>
          <w:szCs w:val="24"/>
          <w:highlight w:val="yellow"/>
        </w:rPr>
        <w:t>e</w:t>
      </w:r>
      <w:r w:rsidR="00A440CC" w:rsidRPr="00A440CC">
        <w:rPr>
          <w:szCs w:val="24"/>
          <w:highlight w:val="yellow"/>
        </w:rPr>
        <w:t>/I</w:t>
      </w:r>
      <w:r w:rsidR="000861F6">
        <w:rPr>
          <w:szCs w:val="24"/>
        </w:rPr>
        <w:t xml:space="preserve"> urge every resident to recognize the challenges that many older adults in our community face </w:t>
      </w:r>
      <w:proofErr w:type="gramStart"/>
      <w:r w:rsidR="000861F6">
        <w:rPr>
          <w:szCs w:val="24"/>
        </w:rPr>
        <w:t>in regards to</w:t>
      </w:r>
      <w:proofErr w:type="gramEnd"/>
      <w:r w:rsidR="000861F6">
        <w:rPr>
          <w:szCs w:val="24"/>
        </w:rPr>
        <w:t xml:space="preserve"> hunger and food insecurity</w:t>
      </w:r>
      <w:r w:rsidR="00ED2B8C">
        <w:rPr>
          <w:szCs w:val="24"/>
        </w:rPr>
        <w:t xml:space="preserve"> and </w:t>
      </w:r>
      <w:r w:rsidR="000861F6">
        <w:rPr>
          <w:szCs w:val="24"/>
        </w:rPr>
        <w:t>encourage every resident to do what they can to address the issue of hunger and food insecurity among older adults in our community</w:t>
      </w:r>
      <w:r w:rsidR="00ED2B8C">
        <w:rPr>
          <w:szCs w:val="24"/>
        </w:rPr>
        <w:t>. T</w:t>
      </w:r>
      <w:r w:rsidR="000861F6">
        <w:rPr>
          <w:szCs w:val="24"/>
        </w:rPr>
        <w:t xml:space="preserve">ogether we can </w:t>
      </w:r>
      <w:r w:rsidR="00B55B6F">
        <w:rPr>
          <w:szCs w:val="24"/>
        </w:rPr>
        <w:t xml:space="preserve">ensure that all older adults </w:t>
      </w:r>
      <w:r w:rsidR="00B57B24">
        <w:rPr>
          <w:szCs w:val="24"/>
        </w:rPr>
        <w:t xml:space="preserve">in </w:t>
      </w:r>
      <w:r w:rsidR="00B57B24" w:rsidRPr="00B57B24">
        <w:rPr>
          <w:szCs w:val="24"/>
          <w:highlight w:val="yellow"/>
        </w:rPr>
        <w:t xml:space="preserve">INSERT </w:t>
      </w:r>
      <w:r w:rsidR="00BC477C">
        <w:rPr>
          <w:szCs w:val="24"/>
          <w:highlight w:val="yellow"/>
        </w:rPr>
        <w:t>CITY/</w:t>
      </w:r>
      <w:r w:rsidR="00B57B24" w:rsidRPr="00B57B24">
        <w:rPr>
          <w:szCs w:val="24"/>
          <w:highlight w:val="yellow"/>
        </w:rPr>
        <w:t>COUNTY</w:t>
      </w:r>
      <w:r w:rsidR="00B57B24">
        <w:rPr>
          <w:szCs w:val="24"/>
        </w:rPr>
        <w:t xml:space="preserve"> have, </w:t>
      </w:r>
      <w:proofErr w:type="gramStart"/>
      <w:r w:rsidR="00B57B24">
        <w:rPr>
          <w:szCs w:val="24"/>
        </w:rPr>
        <w:t>at all times</w:t>
      </w:r>
      <w:proofErr w:type="gramEnd"/>
      <w:r w:rsidR="00B57B24">
        <w:rPr>
          <w:szCs w:val="24"/>
        </w:rPr>
        <w:t>, both physical and economic access to sufficient food that meets their dietary needs for a productive and healthy life.</w:t>
      </w:r>
    </w:p>
    <w:sectPr w:rsidR="000861F6" w:rsidRPr="000861F6" w:rsidSect="005E1A2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A6F8" w14:textId="77777777" w:rsidR="00B1610F" w:rsidRDefault="00B1610F" w:rsidP="00B1610F">
      <w:r>
        <w:separator/>
      </w:r>
    </w:p>
  </w:endnote>
  <w:endnote w:type="continuationSeparator" w:id="0">
    <w:p w14:paraId="28922B7C" w14:textId="77777777" w:rsidR="00B1610F" w:rsidRDefault="00B1610F" w:rsidP="00B1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241A" w14:textId="77777777" w:rsidR="00B1610F" w:rsidRDefault="00B1610F" w:rsidP="00B1610F">
      <w:r>
        <w:separator/>
      </w:r>
    </w:p>
  </w:footnote>
  <w:footnote w:type="continuationSeparator" w:id="0">
    <w:p w14:paraId="75D57AA9" w14:textId="77777777" w:rsidR="00B1610F" w:rsidRDefault="00B1610F" w:rsidP="00B1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F6"/>
    <w:rsid w:val="000861F6"/>
    <w:rsid w:val="00156302"/>
    <w:rsid w:val="001D1DA1"/>
    <w:rsid w:val="003A25FA"/>
    <w:rsid w:val="003C7A4B"/>
    <w:rsid w:val="003D587F"/>
    <w:rsid w:val="004244AD"/>
    <w:rsid w:val="004658A4"/>
    <w:rsid w:val="0053676E"/>
    <w:rsid w:val="005848B6"/>
    <w:rsid w:val="005A1BAE"/>
    <w:rsid w:val="005E1A24"/>
    <w:rsid w:val="00625627"/>
    <w:rsid w:val="006B3966"/>
    <w:rsid w:val="006E39CD"/>
    <w:rsid w:val="006F7B5B"/>
    <w:rsid w:val="00722013"/>
    <w:rsid w:val="007A6680"/>
    <w:rsid w:val="009E2572"/>
    <w:rsid w:val="009F6C67"/>
    <w:rsid w:val="00A3175B"/>
    <w:rsid w:val="00A440CC"/>
    <w:rsid w:val="00A6676D"/>
    <w:rsid w:val="00B1610F"/>
    <w:rsid w:val="00B55B6F"/>
    <w:rsid w:val="00B57B24"/>
    <w:rsid w:val="00B8066F"/>
    <w:rsid w:val="00BA12B6"/>
    <w:rsid w:val="00BC477C"/>
    <w:rsid w:val="00CE0022"/>
    <w:rsid w:val="00D47FDD"/>
    <w:rsid w:val="00D62313"/>
    <w:rsid w:val="00D8636B"/>
    <w:rsid w:val="00DF607C"/>
    <w:rsid w:val="00DF7945"/>
    <w:rsid w:val="00E42E12"/>
    <w:rsid w:val="00ED2B8C"/>
    <w:rsid w:val="00FD4C77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B4D5"/>
  <w15:chartTrackingRefBased/>
  <w15:docId w15:val="{96B4256E-9AF1-4B07-95A1-292CED2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Helvetica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6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0F"/>
  </w:style>
  <w:style w:type="paragraph" w:styleId="Footer">
    <w:name w:val="footer"/>
    <w:basedOn w:val="Normal"/>
    <w:link w:val="FooterChar"/>
    <w:uiPriority w:val="99"/>
    <w:unhideWhenUsed/>
    <w:rsid w:val="00B16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0F"/>
  </w:style>
  <w:style w:type="character" w:styleId="Hyperlink">
    <w:name w:val="Hyperlink"/>
    <w:basedOn w:val="DefaultParagraphFont"/>
    <w:uiPriority w:val="99"/>
    <w:unhideWhenUsed/>
    <w:rsid w:val="00DF6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eniorhungersoluti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b87d3-72d3-4386-9e2f-79353b805895" xsi:nil="true"/>
    <lcf76f155ced4ddcb4097134ff3c332f xmlns="13ddf371-7db4-44d8-ab5d-47b96e3b9f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AF57CABFB0E4182F0CA827F3DBB53" ma:contentTypeVersion="13" ma:contentTypeDescription="Create a new document." ma:contentTypeScope="" ma:versionID="e586ffc5f43a32b353532d1e8244db8f">
  <xsd:schema xmlns:xsd="http://www.w3.org/2001/XMLSchema" xmlns:xs="http://www.w3.org/2001/XMLSchema" xmlns:p="http://schemas.microsoft.com/office/2006/metadata/properties" xmlns:ns2="13ddf371-7db4-44d8-ab5d-47b96e3b9f80" xmlns:ns3="244b87d3-72d3-4386-9e2f-79353b805895" targetNamespace="http://schemas.microsoft.com/office/2006/metadata/properties" ma:root="true" ma:fieldsID="4d7ed18d0ba6f7d521c3a0bbc745f4a8" ns2:_="" ns3:_="">
    <xsd:import namespace="13ddf371-7db4-44d8-ab5d-47b96e3b9f80"/>
    <xsd:import namespace="244b87d3-72d3-4386-9e2f-79353b805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f371-7db4-44d8-ab5d-47b96e3b9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89cfa2-8e27-42a6-8c4d-d33dd449e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87d3-72d3-4386-9e2f-79353b8058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e9847d-a5a1-44f4-bf94-84c460f7b9cb}" ma:internalName="TaxCatchAll" ma:showField="CatchAllData" ma:web="244b87d3-72d3-4386-9e2f-79353b805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14321-A21F-4A3A-997F-C93A7076D557}">
  <ds:schemaRefs>
    <ds:schemaRef ds:uri="http://schemas.microsoft.com/office/2006/metadata/properties"/>
    <ds:schemaRef ds:uri="http://schemas.microsoft.com/office/infopath/2007/PartnerControls"/>
    <ds:schemaRef ds:uri="244b87d3-72d3-4386-9e2f-79353b805895"/>
    <ds:schemaRef ds:uri="13ddf371-7db4-44d8-ab5d-47b96e3b9f80"/>
  </ds:schemaRefs>
</ds:datastoreItem>
</file>

<file path=customXml/itemProps2.xml><?xml version="1.0" encoding="utf-8"?>
<ds:datastoreItem xmlns:ds="http://schemas.openxmlformats.org/officeDocument/2006/customXml" ds:itemID="{EC13742C-1DCD-40D4-8975-F58707208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f371-7db4-44d8-ab5d-47b96e3b9f80"/>
    <ds:schemaRef ds:uri="244b87d3-72d3-4386-9e2f-79353b80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E3663-35AF-46EC-935E-75F73523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Jessica Hartman</cp:lastModifiedBy>
  <cp:revision>32</cp:revision>
  <cp:lastPrinted>2024-01-18T20:48:00Z</cp:lastPrinted>
  <dcterms:created xsi:type="dcterms:W3CDTF">2024-01-18T19:52:00Z</dcterms:created>
  <dcterms:modified xsi:type="dcterms:W3CDTF">2025-02-21T22:39:00Z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0x010100DC0AF57CABFB0E4182F0CA827F3DBB53</vt:lpwstr>
  </property>
  <property fmtid="{D5CDD505-2E9C-101B-9397-08002B2CF9AE}" pid="3" name="MediaServiceImageTags">
    <vt:lpwstr/>
  </property>
</Properties>
</file>